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Id0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10703F" w:rsidR="00E179A0" w:rsidRDefault="00C514C4">
      <w:pPr>
        <w:autoSpaceDE w:val="0"/>
        <w:autoSpaceDN w:val="0"/>
        <w:adjustRightInd w:val="0"/>
        <w:spacing w:after="120" w:before="100" w:beforeAutospacing="1" w:line="360" w:lineRule="auto"/>
        <w:jc w:val="center"/>
        <w:rPr>
          <w:rFonts w:asciiTheme="minorBidi" w:hAnsiTheme="minorBidi"/>
          <w:b/>
          <w:bCs/>
          <w:color w:val="000000"/>
          <w:sz w:val="16"/>
          <w:szCs w:val="16"/>
          <w:u w:val="single"/>
          <w:rtl/>
        </w:rPr>
      </w:pPr>
      <w:bookmarkStart w:id="0" w:name="_GoBack"/>
      <w:bookmarkEnd w:id="0"/>
      <w:r>
        <w:rPr>
          <w:noProof/>
        </w:rPr>
        <w:drawing>
          <wp:inline>
            <wp:extent cx="1057275" cy="1200150"/>
            <wp:effectExtent b="0" l="0" r="9525" t="0"/>
            <wp:docPr id="1" name="An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10703F" w:rsidR="00684AFF" w:rsidRDefault="0058209E" w:rsidRPr="00EA4599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color w:val="000000"/>
          <w:u w:val="single"/>
          <w:rtl/>
        </w:rPr>
      </w:pPr>
      <w:r w:rsidRPr="00EA4599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תדריך ביטחוני ל</w:t>
      </w:r>
      <w:r w:rsidR="00EA0218"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גורם חוץ</w:t>
      </w:r>
    </w:p>
    <w:p w:rsidP="00A244D5" w:rsidR="00EA4599" w:rsidRDefault="00EA4599">
      <w:pPr>
        <w:autoSpaceDE w:val="0"/>
        <w:autoSpaceDN w:val="0"/>
        <w:adjustRightInd w:val="0"/>
        <w:spacing w:after="0" w:line="360" w:lineRule="auto"/>
        <w:jc w:val="both"/>
        <w:rPr>
          <w:rFonts w:ascii="Arial Black" w:cs="David" w:hAnsi="Arial Black"/>
          <w:color w:val="000000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/>
          <w:sz w:val="36"/>
          <w:szCs w:val="36"/>
          <w:u w:val="single"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733675" cy="276225"/>
                <wp:effectExtent b="28575" l="0" r="28575" t="0"/>
                <wp:wrapNone/>
                <wp:docPr id="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EA4599" w:rsidR="00EA4599" w:rsidRDefault="00EA459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מסמך זה מיועד לנשים ולגברים כאחד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1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461849">
        <w:rPr>
          <w:rFonts w:ascii="Arial Black" w:cs="David" w:hAnsi="Arial Black" w:hint="cs"/>
          <w:color w:val="000000"/>
          <w:sz w:val="24"/>
          <w:szCs w:val="24"/>
          <w:rtl/>
        </w:rPr>
        <w:t xml:space="preserve">                                     </w:t>
      </w:r>
    </w:p>
    <w:p w:rsidP="00A244D5" w:rsidR="00EA4599" w:rsidRDefault="00461849">
      <w:pPr>
        <w:autoSpaceDE w:val="0"/>
        <w:autoSpaceDN w:val="0"/>
        <w:adjustRightInd w:val="0"/>
        <w:spacing w:after="0" w:line="360" w:lineRule="auto"/>
        <w:jc w:val="both"/>
        <w:rPr>
          <w:rFonts w:ascii="Arial Black" w:cs="David" w:hAnsi="Arial Black"/>
          <w:color w:val="000000"/>
          <w:sz w:val="24"/>
          <w:szCs w:val="24"/>
          <w:rtl/>
        </w:rPr>
      </w:pPr>
      <w:r>
        <w:rPr>
          <w:rFonts w:ascii="Arial Black" w:cs="David" w:hAnsi="Arial Black" w:hint="cs"/>
          <w:color w:val="000000"/>
          <w:sz w:val="24"/>
          <w:szCs w:val="24"/>
          <w:rtl/>
        </w:rPr>
        <w:t xml:space="preserve">                                      </w:t>
      </w:r>
    </w:p>
    <w:p w:rsidP="00A244D5" w:rsidR="00EA4599" w:rsidRDefault="00EA4599" w:rsidRPr="00EA0218">
      <w:pPr>
        <w:autoSpaceDE w:val="0"/>
        <w:autoSpaceDN w:val="0"/>
        <w:adjustRightInd w:val="0"/>
        <w:spacing w:after="0" w:line="360" w:lineRule="auto"/>
        <w:jc w:val="both"/>
        <w:rPr>
          <w:rFonts w:ascii="Arial Black" w:cs="David" w:hAnsi="Arial Black"/>
          <w:color w:val="000000"/>
          <w:sz w:val="24"/>
          <w:szCs w:val="24"/>
          <w:rtl/>
        </w:rPr>
      </w:pPr>
    </w:p>
    <w:p w:rsidP="00770A15" w:rsidR="00684AFF" w:rsidRDefault="00684AFF" w:rsidRPr="00EA0218">
      <w:pPr>
        <w:autoSpaceDE w:val="0"/>
        <w:autoSpaceDN w:val="0"/>
        <w:adjustRightInd w:val="0"/>
        <w:spacing w:after="0" w:line="360" w:lineRule="auto"/>
        <w:jc w:val="both"/>
        <w:rPr>
          <w:rFonts w:ascii="Arial Black" w:cs="David" w:eastAsia="Arial Unicode MS" w:hAnsi="Arial Black"/>
          <w:color w:val="000000"/>
          <w:sz w:val="28"/>
          <w:szCs w:val="28"/>
          <w:rtl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שלום רב,</w:t>
      </w:r>
    </w:p>
    <w:p w:rsidP="00A244D5" w:rsidR="00684AFF" w:rsidRDefault="00684AFF" w:rsidRPr="00EA0218">
      <w:pPr>
        <w:autoSpaceDE w:val="0"/>
        <w:autoSpaceDN w:val="0"/>
        <w:adjustRightInd w:val="0"/>
        <w:spacing w:after="0" w:line="360" w:lineRule="auto"/>
        <w:ind w:right="36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כחלק ממועמדותך לתפקיד מסווג בגוף בטחוני הנך נדרש לבצע תדרוך של קצין הב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י</w:t>
      </w: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טחון טרם תחילת התהליך.</w:t>
      </w:r>
    </w:p>
    <w:p w:rsidP="00770A15" w:rsidR="00684AFF" w:rsidRDefault="00684AFF" w:rsidRPr="00EA0218">
      <w:pPr>
        <w:autoSpaceDE w:val="0"/>
        <w:autoSpaceDN w:val="0"/>
        <w:adjustRightInd w:val="0"/>
        <w:spacing w:after="0" w:line="360" w:lineRule="auto"/>
        <w:ind w:right="36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במהלך התהליך הנך עתיד להיחשף למידע מסווג כגון- מתקנים חשאיים, עובדי שירות ומספרי טלפון</w:t>
      </w:r>
      <w:r w:rsidR="00770A15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, </w:t>
      </w: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ובהתאם הנך נדרש לעמוד בכללים ובהנחיות השירות כדלהלן:</w:t>
      </w:r>
    </w:p>
    <w:p w:rsidP="00A244D5" w:rsidR="00684AFF" w:rsidRDefault="00A244D5" w:rsidRPr="00EA0218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360" w:right="72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חל איסור בחשיפת מידע מסווג בפני גורם שאינו מאושר לכך, מגבלה זו היא מכח חוק שירות הביטחון הכללי, התשס"ב-2002 (להלן: חוק שב"כ) ומכוח תקנות שירות הביטחון הכללי (פרטים אחרים בנוגע לשירות אשר הינם חסויים והיתר לפרסום מידע האסור לפרסום), התשס"ד-2004.</w:t>
      </w:r>
    </w:p>
    <w:p w:rsidP="00A244D5" w:rsidR="00684AFF" w:rsidRDefault="00A244D5" w:rsidRPr="00EA0218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360" w:right="72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כחלק מהתהליך הנך עתיד להגיע למתקני השירות, בעת הגעתך למתקנים אלו עליך להקפיד על כלל הוראות הב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י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טחון והבטיחות 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שיינתנו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לך מצד צוות האבטחה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,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לרבות אופן ההתנהלות עם טלפון סלולארי והפקדת נשק.</w:t>
      </w:r>
    </w:p>
    <w:p w:rsidP="00A244D5" w:rsidR="00A244D5" w:rsidRDefault="00A244D5" w:rsidRPr="00EA0218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hanging="360" w:right="72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שירות הב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י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טחון הינו ארגון הפועל מתוקף חוק, וכנגזרת מכך קיימת הקפדה יתרה על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עמידה בחוקי המדינה לרבות האיסור על שימוש בסמים וביצוע עבירות פליליות.</w:t>
      </w:r>
    </w:p>
    <w:p w:rsidP="00A244D5" w:rsidR="00684AFF" w:rsidRDefault="00EA4599" w:rsidRPr="00EA0218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hanging="360" w:right="72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EA0218">
        <w:rPr>
          <w:rFonts w:ascii="Arial Black" w:cs="David" w:eastAsia="Arial Unicode MS" w:hAnsi="Arial Black" w:hint="cs"/>
          <w:color w:val="000000"/>
          <w:sz w:val="28"/>
          <w:szCs w:val="28"/>
          <w:rtl/>
        </w:rPr>
        <w:t xml:space="preserve">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התפקיד אליו הנך מיועד הינו תפקיד מסווג המותנה בביצוע הליך התאמה ב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י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טחונית, הכולל מספר ראיונות ובדיקות אשר בגינן יוחלט האם הנך יכול לשרת בתפקיד/משרה מסווגת.</w:t>
      </w:r>
    </w:p>
    <w:p w:rsidP="00584426" w:rsidR="00584426" w:rsidRDefault="00584426" w:rsidRPr="00EA0218">
      <w:pPr>
        <w:autoSpaceDE w:val="0"/>
        <w:autoSpaceDN w:val="0"/>
        <w:adjustRightInd w:val="0"/>
        <w:spacing w:after="0" w:line="360" w:lineRule="auto"/>
        <w:ind w:left="-360" w:right="720"/>
        <w:rPr>
          <w:rFonts w:ascii="Arial Black" w:cs="David" w:eastAsia="Arial Unicode MS" w:hAnsi="Arial Black"/>
          <w:color w:val="000000"/>
          <w:sz w:val="2"/>
          <w:szCs w:val="2"/>
        </w:rPr>
      </w:pPr>
    </w:p>
    <w:p w:rsidP="0010703F" w:rsidR="00684AFF" w:rsidRDefault="0010703F" w:rsidRPr="0010703F">
      <w:pPr>
        <w:autoSpaceDE w:val="0"/>
        <w:autoSpaceDN w:val="0"/>
        <w:adjustRightInd w:val="0"/>
        <w:spacing w:after="0" w:line="360" w:lineRule="auto"/>
        <w:ind w:left="-360" w:right="360"/>
        <w:rPr>
          <w:rFonts w:ascii="Arial Black" w:cs="David" w:eastAsia="Arial Unicode MS" w:hAnsi="Arial Black"/>
          <w:color w:val="000000"/>
          <w:sz w:val="28"/>
          <w:szCs w:val="28"/>
        </w:rPr>
      </w:pPr>
      <w:r w:rsidRPr="00FE6B12">
        <w:rPr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margin">
                  <wp:posOffset>-799465</wp:posOffset>
                </wp:positionH>
                <wp:positionV relativeFrom="paragraph">
                  <wp:posOffset>365760</wp:posOffset>
                </wp:positionV>
                <wp:extent cx="7010400" cy="1247775"/>
                <wp:effectExtent b="28575" l="0" r="19050" t="0"/>
                <wp:wrapNone/>
                <wp:docPr id="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2477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684AFF" w:rsidR="00684AFF" w:rsidRDefault="00684AFF" w:rsidRPr="00684AFF">
                            <w:pPr>
                              <w:jc w:val="center"/>
                              <w:rPr>
                                <w:rFonts w:ascii="Alef" w:cs="Alef" w:hAnsi="Alef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4AFF">
                              <w:rPr>
                                <w:rFonts w:ascii="Alef" w:cs="Alef" w:hAnsi="Alef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הנני מאשר שקראתי את התדרוך והבנתי את תוכנו</w:t>
                            </w:r>
                          </w:p>
                          <w:p w:rsidP="00684AFF" w:rsidR="00684AFF" w:rsidRDefault="00684AFF">
                            <w:r w:rsidRPr="00770A15">
                              <w:rPr>
                                <w:rFonts w:ascii="Alef" w:cs="Alef" w:hAnsi="Alef"/>
                                <w:rtl/>
                              </w:rPr>
                              <w:t>שם מלא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                                                  </w:t>
                            </w:r>
                            <w:r w:rsidRPr="00770A15">
                              <w:rPr>
                                <w:rFonts w:ascii="Alef" w:cs="Alef" w:hAnsi="Alef"/>
                                <w:rtl/>
                              </w:rPr>
                              <w:t>מס' זהות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                          </w:t>
                            </w:r>
                            <w:r w:rsidRPr="00770A15">
                              <w:rPr>
                                <w:rFonts w:ascii="Alef" w:cs="Alef" w:hAnsi="Alef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684AFF">
                              <w:rPr>
                                <w:rFonts w:hint="cs"/>
                              </w:rPr>
                              <w:t xml:space="preserve"> </w:t>
                            </w:r>
                            <w:r w:rsidR="0058209E"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70A15">
                              <w:rPr>
                                <w:rFonts w:ascii="Alef" w:cs="Alef" w:hAnsi="Alef"/>
                                <w:rtl/>
                              </w:rPr>
                              <w:t>חתימה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1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1F377F" w:rsidRPr="00EA0218">
        <w:rPr>
          <w:rFonts w:hint="cs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margin">
                  <wp:posOffset>3667125</wp:posOffset>
                </wp:positionH>
                <wp:positionV relativeFrom="paragraph">
                  <wp:posOffset>1713230</wp:posOffset>
                </wp:positionV>
                <wp:extent cx="1781175" cy="0"/>
                <wp:effectExtent b="0" l="0" r="0" t="0"/>
                <wp:wrapNone/>
                <wp:docPr id="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1F377F" w:rsidRPr="00EA0218">
        <w:rPr>
          <w:rFonts w:hint="cs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-809625</wp:posOffset>
                </wp:positionH>
                <wp:positionV relativeFrom="paragraph">
                  <wp:posOffset>1722755</wp:posOffset>
                </wp:positionV>
                <wp:extent cx="828675" cy="0"/>
                <wp:effectExtent b="0" l="0" r="0" t="0"/>
                <wp:wrapNone/>
                <wp:docPr id="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</mc:AlternateContent>
      </w:r>
      <w:r w:rsidR="001F377F" w:rsidRPr="00EA0218">
        <w:rPr>
          <w:rFonts w:hint="cs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1718310</wp:posOffset>
                </wp:positionV>
                <wp:extent cx="895350" cy="9525"/>
                <wp:effectExtent b="28575" l="0" r="19050" t="0"/>
                <wp:wrapNone/>
                <wp:docPr id="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</mc:AlternateContent>
      </w:r>
      <w:r w:rsidR="00A244D5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 xml:space="preserve">    </w:t>
      </w:r>
      <w:r w:rsidR="00684AFF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במידה והנך מסכים לקבל את כלל האמור לעיל, נא חתום בתחתי מסמך זה</w:t>
      </w:r>
      <w:r w:rsidR="0058209E" w:rsidRPr="00EA0218">
        <w:rPr>
          <w:rFonts w:ascii="Arial Black" w:cs="David" w:eastAsia="Arial Unicode MS" w:hAnsi="Arial Black"/>
          <w:color w:val="000000"/>
          <w:sz w:val="28"/>
          <w:szCs w:val="28"/>
          <w:rtl/>
        </w:rPr>
        <w:t>.</w:t>
      </w:r>
      <w:r w:rsidR="00EA4599" w:rsidRPr="00FE6B12">
        <w:rPr>
          <w:rFonts w:hint="cs"/>
          <w:b/>
          <w:bCs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1741805</wp:posOffset>
                </wp:positionV>
                <wp:extent cx="952500" cy="0"/>
                <wp:effectExtent b="0" l="0" r="0" t="0"/>
                <wp:wrapNone/>
                <wp:docPr id="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sectPr w:rsidR="00684AFF" w:rsidRPr="0010703F" w:rsidSect="0010703F">
      <w:headerReference r:id="rId8" w:type="default"/>
      <w:pgSz w:h="15840" w:w="12240"/>
      <w:pgMar w:bottom="1440" w:footer="720" w:gutter="0" w:header="720" w:left="1800" w:right="1800" w:top="0"/>
      <w:cols w:space="720"/>
      <w:noEndnote/>
    </w:sectPr>
  </w:body>
</w:document>
</file>

<file path=word/endnotes.xml><?xml version="1.0" encoding="utf-8"?>
<w:endnotes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endnote w:id="-100000" w:type="separator">
    <w:p w:rsidP="00A244D5" w:rsidR="00EA37E6" w:rsidRDefault="00EA37E6">
      <w:pPr>
        <w:spacing w:after="0" w:line="240" w:lineRule="auto"/>
      </w:pPr>
      <w:r>
        <w:separator/>
      </w:r>
    </w:p>
  </w:endnote>
  <w:endnote w:id="-99999" w:type="continuationSeparator">
    <w:p w:rsidP="00A244D5" w:rsidR="00EA37E6" w:rsidRDefault="00EA37E6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00000" w:type="separator">
    <w:p w:rsidP="00A244D5" w:rsidR="00EA37E6" w:rsidRDefault="00EA37E6">
      <w:pPr>
        <w:spacing w:after="0" w:line="240" w:lineRule="auto"/>
      </w:pPr>
      <w:r>
        <w:separator/>
      </w:r>
    </w:p>
  </w:footnote>
  <w:footnote w:id="-99999" w:type="continuationSeparator">
    <w:p w:rsidP="00A244D5" w:rsidR="00EA37E6" w:rsidRDefault="00EA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A244D5" w:rsidR="00A244D5" w:rsidRDefault="00A244D5">
    <w:pPr>
      <w:pStyle w:val="4"/>
      <w:jc w:val="right"/>
      <w:rPr>
        <w:rtl/>
      </w:rPr>
    </w:pPr>
  </w:p>
</w:hdr>
</file>

<file path=word/numbering.xml><?xml version="1.0" encoding="utf-8"?>
<w:numbering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5AEF39B2"/>
    <w:multiLevelType w:val="multilevel"/>
    <w:tmpl w:val="06543AB6"/>
    <w:lvl w:ilvl="0">
      <w:start w:val="1"/>
      <w:numFmt w:val="decimal"/>
      <w:lvlText w:val="%1."/>
      <w:legacy w:legacy="1" w:legacyIndent="0" w:legacySpace="0"/>
      <w:lvlJc w:val="right"/>
    </w:lvl>
    <w:lvl w:ilvl="1">
      <w:start w:val="1"/>
      <w:numFmt w:val="decimal"/>
      <w:lvlText w:val="%2."/>
      <w:legacy w:legacy="1" w:legacyIndent="0" w:legacySpace="0"/>
      <w:lvlJc w:val="right"/>
    </w:lvl>
    <w:lvl w:ilvl="2">
      <w:start w:val="1"/>
      <w:numFmt w:val="decimal"/>
      <w:lvlText w:val="%3."/>
      <w:legacy w:legacy="1" w:legacyIndent="0" w:legacySpace="0"/>
      <w:lvlJc w:val="right"/>
    </w:lvl>
    <w:lvl w:ilvl="3">
      <w:start w:val="1"/>
      <w:numFmt w:val="decimal"/>
      <w:lvlText w:val="%4."/>
      <w:legacy w:legacy="1" w:legacyIndent="0" w:legacySpace="0"/>
      <w:lvlJc w:val="right"/>
    </w:lvl>
    <w:lvl w:ilvl="4">
      <w:start w:val="1"/>
      <w:numFmt w:val="decimal"/>
      <w:lvlText w:val="%5."/>
      <w:legacy w:legacy="1" w:legacyIndent="0" w:legacySpace="0"/>
      <w:lvlJc w:val="right"/>
    </w:lvl>
    <w:lvl w:ilvl="5">
      <w:start w:val="1"/>
      <w:numFmt w:val="decimal"/>
      <w:lvlText w:val="%6."/>
      <w:legacy w:legacy="1" w:legacyIndent="0" w:legacySpace="0"/>
      <w:lvlJc w:val="right"/>
    </w:lvl>
    <w:lvl w:ilvl="6">
      <w:start w:val="1"/>
      <w:numFmt w:val="decimal"/>
      <w:lvlText w:val="%7."/>
      <w:legacy w:legacy="1" w:legacyIndent="0" w:legacySpace="0"/>
      <w:lvlJc w:val="right"/>
    </w:lvl>
    <w:lvl w:ilvl="7">
      <w:start w:val="1"/>
      <w:numFmt w:val="decimal"/>
      <w:lvlText w:val="%8."/>
      <w:legacy w:legacy="1" w:legacyIndent="0" w:legacySpace="0"/>
      <w:lvlJc w:val="right"/>
    </w:lvl>
    <w:lvl w:ilvl="8">
      <w:start w:val="1"/>
      <w:numFmt w:val="decimal"/>
      <w:lvlText w:val="%9."/>
      <w:legacy w:legacy="1" w:legacyIndent="0" w:legacySpace="0"/>
      <w:lvlJc w:val="right"/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Indent="0" w:legacySpace="0"/>
        <w:lvlJc w:val="right"/>
      </w:lvl>
    </w:lvlOverride>
    <w:lvlOverride w:ilvl="1">
      <w:lvl w:ilvl="1">
        <w:start w:val="1"/>
        <w:numFmt w:val="decimal"/>
        <w:lvlText w:val="%2."/>
        <w:legacy w:legacy="1" w:legacyIndent="0" w:legacySpace="0"/>
        <w:lvlJc w:val="right"/>
      </w:lvl>
    </w:lvlOverride>
    <w:lvlOverride w:ilvl="2">
      <w:lvl w:ilvl="2">
        <w:start w:val="1"/>
        <w:numFmt w:val="decimal"/>
        <w:lvlText w:val="%3."/>
        <w:legacy w:legacy="1" w:legacyIndent="0" w:legacySpace="0"/>
        <w:lvlJc w:val="right"/>
      </w:lvl>
    </w:lvlOverride>
    <w:lvlOverride w:ilvl="3">
      <w:lvl w:ilvl="3">
        <w:start w:val="1"/>
        <w:numFmt w:val="decimal"/>
        <w:lvlText w:val="%4."/>
        <w:legacy w:legacy="1" w:legacyIndent="0" w:legacySpace="0"/>
        <w:lvlJc w:val="right"/>
      </w:lvl>
    </w:lvlOverride>
    <w:lvlOverride w:ilvl="4">
      <w:lvl w:ilvl="4">
        <w:start w:val="1"/>
        <w:numFmt w:val="decimal"/>
        <w:lvlText w:val="%5."/>
        <w:legacy w:legacy="1" w:legacyIndent="0" w:legacySpace="0"/>
        <w:lvlJc w:val="right"/>
      </w:lvl>
    </w:lvlOverride>
    <w:lvlOverride w:ilvl="5">
      <w:lvl w:ilvl="5">
        <w:start w:val="1"/>
        <w:numFmt w:val="decimal"/>
        <w:lvlText w:val="%6."/>
        <w:legacy w:legacy="1" w:legacyIndent="0" w:legacySpace="0"/>
        <w:lvlJc w:val="right"/>
      </w:lvl>
    </w:lvlOverride>
    <w:lvlOverride w:ilvl="6">
      <w:lvl w:ilvl="6">
        <w:start w:val="1"/>
        <w:numFmt w:val="decimal"/>
        <w:lvlText w:val="%7."/>
        <w:legacy w:legacy="1" w:legacyIndent="0" w:legacySpace="0"/>
        <w:lvlJc w:val="right"/>
      </w:lvl>
    </w:lvlOverride>
    <w:lvlOverride w:ilvl="7">
      <w:lvl w:ilvl="7">
        <w:start w:val="1"/>
        <w:numFmt w:val="decimal"/>
        <w:lvlText w:val="%8."/>
        <w:legacy w:legacy="1" w:legacyIndent="0" w:legacySpace="0"/>
        <w:lvlJc w:val="right"/>
      </w:lvl>
    </w:lvlOverride>
    <w:lvlOverride w:ilvl="8">
      <w:lvl w:ilvl="8">
        <w:start w:val="1"/>
        <w:numFmt w:val="decimal"/>
        <w:lvlText w:val="%9."/>
        <w:legacy w:legacy="1" w:legacyIndent="0" w:legacySpace="0"/>
        <w:lvlJc w:val="right"/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Indent="0" w:legacySpace="0"/>
        <w:lvlJc w:val="right"/>
      </w:lvl>
    </w:lvlOverride>
    <w:lvlOverride w:ilvl="1">
      <w:lvl w:ilvl="1">
        <w:start w:val="1"/>
        <w:numFmt w:val="decimal"/>
        <w:lvlText w:val="%2."/>
        <w:legacy w:legacy="1" w:legacyIndent="0" w:legacySpace="0"/>
        <w:lvlJc w:val="right"/>
      </w:lvl>
    </w:lvlOverride>
    <w:lvlOverride w:ilvl="2">
      <w:lvl w:ilvl="2">
        <w:start w:val="1"/>
        <w:numFmt w:val="decimal"/>
        <w:lvlText w:val="%3."/>
        <w:legacy w:legacy="1" w:legacyIndent="0" w:legacySpace="0"/>
        <w:lvlJc w:val="right"/>
      </w:lvl>
    </w:lvlOverride>
    <w:lvlOverride w:ilvl="3">
      <w:lvl w:ilvl="3">
        <w:start w:val="1"/>
        <w:numFmt w:val="decimal"/>
        <w:lvlText w:val="%4."/>
        <w:legacy w:legacy="1" w:legacyIndent="0" w:legacySpace="0"/>
        <w:lvlJc w:val="right"/>
      </w:lvl>
    </w:lvlOverride>
    <w:lvlOverride w:ilvl="4">
      <w:lvl w:ilvl="4">
        <w:start w:val="1"/>
        <w:numFmt w:val="decimal"/>
        <w:lvlText w:val="%5."/>
        <w:legacy w:legacy="1" w:legacyIndent="0" w:legacySpace="0"/>
        <w:lvlJc w:val="right"/>
      </w:lvl>
    </w:lvlOverride>
    <w:lvlOverride w:ilvl="5">
      <w:lvl w:ilvl="5">
        <w:start w:val="1"/>
        <w:numFmt w:val="decimal"/>
        <w:lvlText w:val="%6."/>
        <w:legacy w:legacy="1" w:legacyIndent="0" w:legacySpace="0"/>
        <w:lvlJc w:val="right"/>
      </w:lvl>
    </w:lvlOverride>
    <w:lvlOverride w:ilvl="6">
      <w:lvl w:ilvl="6">
        <w:start w:val="1"/>
        <w:numFmt w:val="decimal"/>
        <w:lvlText w:val="%7."/>
        <w:legacy w:legacy="1" w:legacyIndent="0" w:legacySpace="0"/>
        <w:lvlJc w:val="right"/>
      </w:lvl>
    </w:lvlOverride>
    <w:lvlOverride w:ilvl="7">
      <w:lvl w:ilvl="7">
        <w:start w:val="1"/>
        <w:numFmt w:val="decimal"/>
        <w:lvlText w:val="%8."/>
        <w:legacy w:legacy="1" w:legacyIndent="0" w:legacySpace="0"/>
        <w:lvlJc w:val="right"/>
      </w:lvl>
    </w:lvlOverride>
    <w:lvlOverride w:ilvl="8">
      <w:lvl w:ilvl="8">
        <w:start w:val="1"/>
        <w:numFmt w:val="decimal"/>
        <w:lvlText w:val="%9."/>
        <w:legacy w:legacy="1" w:legacyIndent="0" w:legacySpace="0"/>
        <w:lvlJc w:val="right"/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Indent="0" w:legacySpace="0"/>
        <w:lvlJc w:val="right"/>
      </w:lvl>
    </w:lvlOverride>
    <w:lvlOverride w:ilvl="1">
      <w:lvl w:ilvl="1">
        <w:start w:val="1"/>
        <w:numFmt w:val="decimal"/>
        <w:lvlText w:val="%2."/>
        <w:legacy w:legacy="1" w:legacyIndent="0" w:legacySpace="0"/>
        <w:lvlJc w:val="right"/>
      </w:lvl>
    </w:lvlOverride>
    <w:lvlOverride w:ilvl="2">
      <w:lvl w:ilvl="2">
        <w:start w:val="1"/>
        <w:numFmt w:val="decimal"/>
        <w:lvlText w:val="%3."/>
        <w:legacy w:legacy="1" w:legacyIndent="0" w:legacySpace="0"/>
        <w:lvlJc w:val="right"/>
      </w:lvl>
    </w:lvlOverride>
    <w:lvlOverride w:ilvl="3">
      <w:lvl w:ilvl="3">
        <w:start w:val="1"/>
        <w:numFmt w:val="decimal"/>
        <w:lvlText w:val="%4."/>
        <w:legacy w:legacy="1" w:legacyIndent="0" w:legacySpace="0"/>
        <w:lvlJc w:val="right"/>
      </w:lvl>
    </w:lvlOverride>
    <w:lvlOverride w:ilvl="4">
      <w:lvl w:ilvl="4">
        <w:start w:val="1"/>
        <w:numFmt w:val="decimal"/>
        <w:lvlText w:val="%5."/>
        <w:legacy w:legacy="1" w:legacyIndent="0" w:legacySpace="0"/>
        <w:lvlJc w:val="right"/>
      </w:lvl>
    </w:lvlOverride>
    <w:lvlOverride w:ilvl="5">
      <w:lvl w:ilvl="5">
        <w:start w:val="1"/>
        <w:numFmt w:val="decimal"/>
        <w:lvlText w:val="%6."/>
        <w:legacy w:legacy="1" w:legacyIndent="0" w:legacySpace="0"/>
        <w:lvlJc w:val="right"/>
      </w:lvl>
    </w:lvlOverride>
    <w:lvlOverride w:ilvl="6">
      <w:lvl w:ilvl="6">
        <w:start w:val="1"/>
        <w:numFmt w:val="decimal"/>
        <w:lvlText w:val="%7."/>
        <w:legacy w:legacy="1" w:legacyIndent="0" w:legacySpace="0"/>
        <w:lvlJc w:val="right"/>
      </w:lvl>
    </w:lvlOverride>
    <w:lvlOverride w:ilvl="7">
      <w:lvl w:ilvl="7">
        <w:start w:val="1"/>
        <w:numFmt w:val="decimal"/>
        <w:lvlText w:val="%8."/>
        <w:legacy w:legacy="1" w:legacyIndent="0" w:legacySpace="0"/>
        <w:lvlJc w:val="right"/>
      </w:lvl>
    </w:lvlOverride>
    <w:lvlOverride w:ilvl="8">
      <w:lvl w:ilvl="8">
        <w:start w:val="1"/>
        <w:numFmt w:val="decimal"/>
        <w:lvlText w:val="%9."/>
        <w:legacy w:legacy="1" w:legacyIndent="0" w:legacySpace="0"/>
        <w:lvlJc w:val="right"/>
      </w:lvl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efaultTabStop w:val="720"/>
  <w:characterSpacingControl w:val="doNotCompress"/>
  <w:hdrShapeDefaults>
    <o:shapedefaults spidmax="2049" v:ext="edit"/>
  </w:hdrShapeDefaults>
  <w:footnotePr>
    <w:footnote w:id="-100000"/>
    <w:footnote w:id="-99999"/>
  </w:footnotePr>
  <w:endnotePr>
    <w:endnote w:id="-100000"/>
    <w:endnote w:id="-99999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FF"/>
    <w:rsid w:val="000A59C7"/>
    <w:rsid w:val="0010703F"/>
    <w:rsid w:val="001158C2"/>
    <w:rsid w:val="001F377F"/>
    <w:rsid w:val="0030087B"/>
    <w:rsid w:val="00461849"/>
    <w:rsid w:val="00570282"/>
    <w:rsid w:val="0058209E"/>
    <w:rsid w:val="00584426"/>
    <w:rsid w:val="00684AFF"/>
    <w:rsid w:val="00770A15"/>
    <w:rsid w:val="008B5200"/>
    <w:rsid w:val="00A244D5"/>
    <w:rsid w:val="00BF6C6C"/>
    <w:rsid w:val="00C514C4"/>
    <w:rsid w:val="00D361B6"/>
    <w:rsid w:val="00E179A0"/>
    <w:rsid w:val="00EA0218"/>
    <w:rsid w:val="00EA37E6"/>
    <w:rsid w:val="00EA4599"/>
    <w:rsid w:val="00FE2625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5:docId w15:val="{46F5CE1D-6770-4313-9184-65B71F22C0D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he-IL" w:eastAsia="en-US" w:val="en-U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2" w:type="paragraph">
    <w:name w:val="Normal"/>
    <w:qFormat/>
    <w:pPr>
      <w:bidi/>
    </w:pPr>
  </w:style>
  <w:style w:default="1" w:styleId="3" w:type="character">
    <w:name w:val="Default Paragraph Font"/>
    <w:uiPriority w:val="1"/>
    <w:semiHidden/>
    <w:unhideWhenUsed/>
  </w:style>
  <w:style w:default="1" w:styleId="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0" w:type="numbering">
    <w:name w:val="No List"/>
    <w:uiPriority w:val="99"/>
    <w:semiHidden/>
    <w:unhideWhenUsed/>
  </w:style>
  <w:style w:styleId="4" w:type="paragraph">
    <w:name w:val="header"/>
    <w:basedOn w:val="2"/>
    <w:link w:val="5"/>
    <w:uiPriority w:val="99"/>
    <w:unhideWhenUsed/>
    <w:rsid w:val="00A244D5"/>
    <w:pPr>
      <w:tabs>
        <w:tab w:pos="4153" w:val="center"/>
        <w:tab w:pos="8306" w:val="right"/>
      </w:tabs>
      <w:spacing w:after="0" w:line="240" w:lineRule="auto"/>
    </w:pPr>
  </w:style>
  <w:style w:styleId="5" w:type="character">
    <w:name w:val="כותרת עליונה תו"/>
    <w:basedOn w:val="3"/>
    <w:link w:val="4"/>
    <w:uiPriority w:val="99"/>
    <w:rsid w:val="00A244D5"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../word/header1.xml"/><Relationship Id="rId3" Type="http://schemas.openxmlformats.org/officeDocument/2006/relationships/webSettings" Target="../word/webSettings.xml"/><Relationship Id="rId7" Type="http://schemas.openxmlformats.org/officeDocument/2006/relationships/numbering" Target="../word/numbering.xml"/><Relationship Id="rId2" Type="http://schemas.openxmlformats.org/officeDocument/2006/relationships/theme" Target="../word/theme/theme1.xml"/><Relationship Id="rId1" Type="http://schemas.openxmlformats.org/officeDocument/2006/relationships/image" Target="../word/media/image1.png"/><Relationship Id="rId6" Type="http://schemas.openxmlformats.org/officeDocument/2006/relationships/settings" Target="../word/settings.xml"/><Relationship Id="rId11" Type="http://schemas.openxmlformats.org/officeDocument/2006/relationships/customXml" Target="../customXml/item3.xml"/><Relationship Id="rId5" Type="http://schemas.openxmlformats.org/officeDocument/2006/relationships/endnotes" Target="../word/endnotes.xml"/><Relationship Id="rId0" Type="http://schemas.openxmlformats.org/officeDocument/2006/relationships/styles" Target="../word/styles.xml"/><Relationship Id="rId10" Type="http://schemas.openxmlformats.org/officeDocument/2006/relationships/customXml" Target="../customXml/item2.xml"/><Relationship Id="rId4" Type="http://schemas.openxmlformats.org/officeDocument/2006/relationships/footnotes" Target="../word/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panose="020F0502020204030204"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extraClrSchemeLst xmlns="http://schemas.openxmlformats.org/drawingml/2006/main">
    <extraClrScheme>
      <clrScheme name="extraLst0">
        <dk1>
          <srgbClr val="891e22"/>
        </dk1>
        <lt1>
          <srgbClr val="31a364"/>
        </lt1>
        <dk2>
          <srgbClr val="856419"/>
        </dk2>
        <lt2>
          <srgbClr val="b6e4e0"/>
        </lt2>
        <accent1>
          <srgbClr val="26c342"/>
        </accent1>
        <accent2>
          <srgbClr val="de0d43"/>
        </accent2>
        <accent3>
          <srgbClr val="0236ff"/>
        </accent3>
        <accent4>
          <srgbClr val="3f964c"/>
        </accent4>
        <accent5>
          <srgbClr val="223380"/>
        </accent5>
        <accent6>
          <srgbClr val="e3e8bd"/>
        </accent6>
        <hlink>
          <srgbClr val="ad7683"/>
        </hlink>
        <folHlink>
          <srgbClr val="4e0ad4"/>
        </folHlink>
      </clrScheme>
    </extraClrScheme>
  </extraClrSchemeLst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C81F798E6F6D4DA0D1DBA93761C6F2" ma:contentTypeVersion="1" ma:contentTypeDescription="צור מסמך חדש." ma:contentTypeScope="" ma:versionID="743149f20d6256943b3d626f1f880c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C17F7C-862E-4D9C-B872-DF87BB01EA12}"/>
</file>

<file path=customXml/itemProps2.xml><?xml version="1.0" encoding="utf-8"?>
<ds:datastoreItem xmlns:ds="http://schemas.openxmlformats.org/officeDocument/2006/customXml" ds:itemID="{9D55B369-8262-49F9-8B4E-5CFFF80582B5}"/>
</file>

<file path=customXml/itemProps3.xml><?xml version="1.0" encoding="utf-8"?>
<ds:datastoreItem xmlns:ds="http://schemas.openxmlformats.org/officeDocument/2006/customXml" ds:itemID="{16FE5958-CAC2-4B83-B44B-91321F75C32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0x01010060C81F798E6F6D4DA0D1DBA93761C6F2</vt:lpwstr>
  </property>
</Properties>
</file>